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A8F6" w14:textId="60EC4354" w:rsidR="00E81558" w:rsidRDefault="00DC7CF2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DFE626" wp14:editId="47206E5E">
            <wp:simplePos x="0" y="0"/>
            <wp:positionH relativeFrom="column">
              <wp:posOffset>3243580</wp:posOffset>
            </wp:positionH>
            <wp:positionV relativeFrom="paragraph">
              <wp:posOffset>-347345</wp:posOffset>
            </wp:positionV>
            <wp:extent cx="2478983" cy="7334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98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671B77">
        <w:rPr>
          <w:b/>
          <w:sz w:val="40"/>
          <w:szCs w:val="40"/>
        </w:rPr>
        <w:t>4</w:t>
      </w:r>
      <w:r w:rsidR="001467B2">
        <w:rPr>
          <w:b/>
          <w:sz w:val="40"/>
          <w:szCs w:val="40"/>
        </w:rPr>
        <w:t>501</w:t>
      </w:r>
    </w:p>
    <w:p w14:paraId="2B1BBFF5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4D504188" w14:textId="77777777" w:rsidR="00DC7CF2" w:rsidRDefault="00DC7CF2" w:rsidP="00DC7CF2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2B12F165" w14:textId="77777777" w:rsidR="00E81558" w:rsidRPr="00E16999" w:rsidRDefault="00E81558" w:rsidP="00E81558">
      <w:pPr>
        <w:rPr>
          <w:color w:val="4F81BD" w:themeColor="accent1"/>
        </w:rPr>
      </w:pPr>
    </w:p>
    <w:p w14:paraId="10C381AB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375225A8" w14:textId="77777777" w:rsidR="001467B2" w:rsidRDefault="001467B2" w:rsidP="001467B2">
      <w:pPr>
        <w:pStyle w:val="Zkladntext"/>
        <w:spacing w:before="101" w:line="268" w:lineRule="auto"/>
        <w:ind w:left="1265" w:right="116"/>
        <w:jc w:val="both"/>
      </w:pPr>
      <w:r>
        <w:rPr>
          <w:b/>
        </w:rPr>
        <w:t xml:space="preserve">Hydrex 4501 </w:t>
      </w:r>
      <w:r>
        <w:t xml:space="preserve">je speciální alkalický čistící přípravek obsahující povrchově aktivní látky a </w:t>
      </w:r>
      <w:proofErr w:type="spellStart"/>
      <w:r>
        <w:t>chelatační</w:t>
      </w:r>
      <w:proofErr w:type="spellEnd"/>
      <w:r>
        <w:t xml:space="preserve"> činidla, určený k odstranění organických nečistot z povrchů membrán</w:t>
      </w:r>
    </w:p>
    <w:p w14:paraId="657B8222" w14:textId="77777777" w:rsidR="001467B2" w:rsidRDefault="001467B2" w:rsidP="001467B2">
      <w:pPr>
        <w:pStyle w:val="Zkladntext"/>
        <w:spacing w:before="195"/>
        <w:ind w:left="1265"/>
        <w:jc w:val="both"/>
      </w:pPr>
      <w:r>
        <w:rPr>
          <w:b/>
        </w:rPr>
        <w:t xml:space="preserve">Hydrex 4501 </w:t>
      </w:r>
      <w:r>
        <w:t>je také efektivní při odstraňování vápníku, barya a stroncia z povrchů membrán.</w:t>
      </w:r>
    </w:p>
    <w:p w14:paraId="4E3C45F7" w14:textId="77777777" w:rsidR="00943710" w:rsidRDefault="00943710" w:rsidP="00E81558"/>
    <w:p w14:paraId="7954F8FB" w14:textId="77777777" w:rsidR="00671B77" w:rsidRPr="00671B77" w:rsidRDefault="00671B77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4BE0B6BC" w14:textId="77777777" w:rsidR="001467B2" w:rsidRDefault="001467B2" w:rsidP="001467B2">
      <w:pPr>
        <w:pStyle w:val="Odstavecseseznamem"/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before="218" w:after="0" w:line="236" w:lineRule="exact"/>
        <w:contextualSpacing w:val="0"/>
        <w:jc w:val="both"/>
        <w:rPr>
          <w:sz w:val="20"/>
        </w:rPr>
      </w:pPr>
      <w:r>
        <w:rPr>
          <w:sz w:val="20"/>
        </w:rPr>
        <w:t xml:space="preserve">Vysoce účinný k odstranění </w:t>
      </w:r>
      <w:r>
        <w:rPr>
          <w:position w:val="1"/>
          <w:sz w:val="20"/>
        </w:rPr>
        <w:t>vápníku, barya, stroncia soli a/ nebo mikrobiálnímu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znečištění</w:t>
      </w:r>
    </w:p>
    <w:p w14:paraId="06CF2663" w14:textId="77777777" w:rsidR="001467B2" w:rsidRDefault="001467B2" w:rsidP="001467B2">
      <w:pPr>
        <w:pStyle w:val="Odstavecseseznamem"/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after="0" w:line="226" w:lineRule="exact"/>
        <w:contextualSpacing w:val="0"/>
        <w:jc w:val="both"/>
        <w:rPr>
          <w:sz w:val="20"/>
        </w:rPr>
      </w:pPr>
      <w:r>
        <w:rPr>
          <w:position w:val="1"/>
          <w:sz w:val="20"/>
        </w:rPr>
        <w:t>Cenově výhodný.</w:t>
      </w:r>
    </w:p>
    <w:p w14:paraId="54006082" w14:textId="77777777" w:rsidR="001467B2" w:rsidRDefault="001467B2" w:rsidP="001467B2">
      <w:pPr>
        <w:pStyle w:val="Odstavecseseznamem"/>
        <w:widowControl w:val="0"/>
        <w:numPr>
          <w:ilvl w:val="0"/>
          <w:numId w:val="8"/>
        </w:numPr>
        <w:tabs>
          <w:tab w:val="left" w:pos="1379"/>
        </w:tabs>
        <w:autoSpaceDE w:val="0"/>
        <w:autoSpaceDN w:val="0"/>
        <w:spacing w:before="15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V souladu s požadavky výrobců membrán na odstranění vodního</w:t>
      </w:r>
      <w:r>
        <w:rPr>
          <w:spacing w:val="14"/>
          <w:sz w:val="20"/>
        </w:rPr>
        <w:t xml:space="preserve"> </w:t>
      </w:r>
      <w:r>
        <w:rPr>
          <w:sz w:val="20"/>
        </w:rPr>
        <w:t>kamene</w:t>
      </w:r>
    </w:p>
    <w:p w14:paraId="2D832C13" w14:textId="77777777" w:rsidR="001467B2" w:rsidRDefault="001467B2" w:rsidP="001467B2">
      <w:pPr>
        <w:pStyle w:val="Zkladntext"/>
      </w:pPr>
    </w:p>
    <w:p w14:paraId="1C3EAE5F" w14:textId="77777777" w:rsidR="00671B77" w:rsidRDefault="00671B77" w:rsidP="00E81558"/>
    <w:p w14:paraId="2BB42158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386FF49A" w14:textId="77777777" w:rsidR="001467B2" w:rsidRDefault="001467B2" w:rsidP="001467B2">
      <w:pPr>
        <w:pStyle w:val="Zkladntext"/>
        <w:spacing w:before="103" w:line="266" w:lineRule="auto"/>
        <w:ind w:left="1265" w:right="118"/>
        <w:jc w:val="both"/>
      </w:pPr>
      <w:r>
        <w:t>Pro přípravu čistícího roztoku používáme demineralizovanou vodu prostou volného chlóru. Doporučená koncentrace roztoku je v rozmezí od 0,5 do 0,8% w/w prostředku Hydrex 4501. Konečné pH směsi je omezeno teplotou čistícího roztoku, proto je nutné dodržet pokyny výrobců jednotlivých</w:t>
      </w:r>
      <w:r>
        <w:rPr>
          <w:spacing w:val="-16"/>
        </w:rPr>
        <w:t xml:space="preserve"> </w:t>
      </w:r>
      <w:r>
        <w:t>membrán.</w:t>
      </w:r>
    </w:p>
    <w:p w14:paraId="3A07844C" w14:textId="77777777" w:rsidR="001467B2" w:rsidRDefault="001467B2" w:rsidP="001467B2">
      <w:pPr>
        <w:pStyle w:val="Zkladntext"/>
        <w:spacing w:before="3"/>
        <w:rPr>
          <w:sz w:val="17"/>
        </w:rPr>
      </w:pPr>
    </w:p>
    <w:p w14:paraId="4D6B34F8" w14:textId="77777777" w:rsidR="001467B2" w:rsidRDefault="001467B2" w:rsidP="001467B2">
      <w:pPr>
        <w:pStyle w:val="Zkladntext"/>
        <w:spacing w:line="266" w:lineRule="auto"/>
        <w:ind w:left="1265" w:right="120"/>
        <w:jc w:val="both"/>
      </w:pPr>
      <w:r>
        <w:t>Čištění obvykle trvá po dobu jedné hodiny. Podle charakteru znečištění, může namáčecí fáze trvat i několik hodin, s krátkými recirkulačními cykly.</w:t>
      </w:r>
    </w:p>
    <w:p w14:paraId="24DBF45F" w14:textId="77777777" w:rsidR="001467B2" w:rsidRDefault="001467B2" w:rsidP="001467B2">
      <w:pPr>
        <w:pStyle w:val="Zkladntext"/>
        <w:spacing w:before="5"/>
        <w:rPr>
          <w:sz w:val="17"/>
        </w:rPr>
      </w:pPr>
    </w:p>
    <w:p w14:paraId="253AB808" w14:textId="77777777" w:rsidR="001467B2" w:rsidRDefault="001467B2" w:rsidP="001467B2">
      <w:pPr>
        <w:pStyle w:val="Zkladntext"/>
        <w:spacing w:line="266" w:lineRule="auto"/>
        <w:ind w:left="1265" w:right="117"/>
        <w:jc w:val="both"/>
      </w:pPr>
      <w:r>
        <w:t>Po procesu čištění je doporučeno opláchnutí membrán kvalitní vodou z důvodů odstranění zbytků čisticího roztoku. Po vrácení zařízení do provozu musí být produkovaná voda vyřazena po prvních 15 minut, aby se zajistilo, že je bez čisticího prostředku.</w:t>
      </w:r>
    </w:p>
    <w:p w14:paraId="58B2C460" w14:textId="77777777" w:rsidR="001467B2" w:rsidRDefault="001467B2" w:rsidP="001467B2">
      <w:pPr>
        <w:pStyle w:val="Zkladntext"/>
        <w:spacing w:before="196"/>
        <w:ind w:left="1207" w:right="116"/>
        <w:jc w:val="both"/>
      </w:pPr>
      <w:r>
        <w:t>Optimální koncentrace a doba působení závisí na parametrech systému a na provozních podmínkách, a měly by odpovídat parametrům specifikovaným technology VWSM v provozních manuálech, které by měly být uživatelem respektovány a dodržovány.</w:t>
      </w:r>
    </w:p>
    <w:p w14:paraId="5D247CED" w14:textId="77777777" w:rsidR="001467B2" w:rsidRDefault="001467B2" w:rsidP="001467B2">
      <w:pPr>
        <w:pStyle w:val="Zkladntext"/>
        <w:spacing w:before="4"/>
        <w:rPr>
          <w:sz w:val="17"/>
        </w:rPr>
      </w:pPr>
    </w:p>
    <w:p w14:paraId="5BD97912" w14:textId="77777777" w:rsidR="001467B2" w:rsidRDefault="001467B2" w:rsidP="001467B2">
      <w:pPr>
        <w:pStyle w:val="Zkladntext"/>
        <w:spacing w:line="235" w:lineRule="auto"/>
        <w:ind w:left="1265" w:right="119"/>
        <w:jc w:val="both"/>
      </w:pPr>
      <w:r>
        <w:t xml:space="preserve">Optimální rychlost dávkování závisí na parametrech systému a na provozních podmínkách, specifikacím </w:t>
      </w:r>
      <w:r>
        <w:rPr>
          <w:position w:val="1"/>
        </w:rPr>
        <w:t>technologů VWS, které by měly být dodržovány</w:t>
      </w:r>
      <w:r>
        <w:t>.</w:t>
      </w:r>
    </w:p>
    <w:p w14:paraId="410693BC" w14:textId="77777777" w:rsidR="001467B2" w:rsidRDefault="001467B2" w:rsidP="001467B2">
      <w:pPr>
        <w:rPr>
          <w:color w:val="4F81BD" w:themeColor="accent1"/>
        </w:rPr>
      </w:pPr>
    </w:p>
    <w:p w14:paraId="345E783A" w14:textId="77777777" w:rsidR="001467B2" w:rsidRPr="00E16999" w:rsidRDefault="001467B2" w:rsidP="001467B2">
      <w:pPr>
        <w:rPr>
          <w:color w:val="4F81BD" w:themeColor="accent1"/>
        </w:rPr>
      </w:pPr>
      <w:r>
        <w:rPr>
          <w:color w:val="4F81BD" w:themeColor="accent1"/>
        </w:rPr>
        <w:lastRenderedPageBreak/>
        <w:t>Specifikace</w:t>
      </w:r>
    </w:p>
    <w:p w14:paraId="27371640" w14:textId="77777777" w:rsidR="001467B2" w:rsidRDefault="001467B2" w:rsidP="001467B2">
      <w:pPr>
        <w:pStyle w:val="Zkladntext"/>
      </w:pPr>
    </w:p>
    <w:p w14:paraId="075D4C2D" w14:textId="77777777" w:rsidR="001467B2" w:rsidRDefault="001467B2" w:rsidP="001467B2">
      <w:pPr>
        <w:pStyle w:val="Zkladntext"/>
        <w:tabs>
          <w:tab w:val="left" w:pos="3651"/>
        </w:tabs>
        <w:spacing w:before="113"/>
        <w:ind w:left="1265"/>
        <w:jc w:val="both"/>
      </w:pPr>
      <w:r>
        <w:t>Vzhled:</w:t>
      </w:r>
      <w:r>
        <w:tab/>
        <w:t>Bílý krystalický</w:t>
      </w:r>
      <w:r>
        <w:rPr>
          <w:spacing w:val="-9"/>
        </w:rPr>
        <w:t xml:space="preserve"> </w:t>
      </w:r>
      <w:r>
        <w:t>prášek</w:t>
      </w:r>
    </w:p>
    <w:p w14:paraId="2140134C" w14:textId="77777777" w:rsidR="001467B2" w:rsidRDefault="001467B2" w:rsidP="001467B2">
      <w:pPr>
        <w:pStyle w:val="Zkladntext"/>
        <w:tabs>
          <w:tab w:val="left" w:pos="3651"/>
        </w:tabs>
        <w:spacing w:before="51"/>
        <w:ind w:left="1265"/>
        <w:jc w:val="both"/>
      </w:pPr>
      <w:r>
        <w:t>Zápach:</w:t>
      </w:r>
      <w:r>
        <w:tab/>
        <w:t>nepatrný</w:t>
      </w:r>
    </w:p>
    <w:p w14:paraId="3230FFE2" w14:textId="77777777" w:rsidR="001467B2" w:rsidRDefault="001467B2" w:rsidP="001467B2">
      <w:pPr>
        <w:pStyle w:val="Zkladntext"/>
        <w:tabs>
          <w:tab w:val="left" w:pos="3651"/>
          <w:tab w:val="left" w:pos="5460"/>
        </w:tabs>
        <w:spacing w:before="51" w:line="300" w:lineRule="auto"/>
        <w:ind w:left="1265" w:right="3280"/>
      </w:pPr>
      <w:r>
        <w:t>Rozpustnost:</w:t>
      </w:r>
      <w:r>
        <w:tab/>
        <w:t>ve vodě</w:t>
      </w:r>
      <w:r>
        <w:rPr>
          <w:spacing w:val="-4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>8%</w:t>
      </w:r>
      <w:r>
        <w:tab/>
        <w:t>pH 3% roztoku: 11,0 –</w:t>
      </w:r>
      <w:r>
        <w:rPr>
          <w:spacing w:val="-35"/>
        </w:rPr>
        <w:t xml:space="preserve"> </w:t>
      </w:r>
      <w:r>
        <w:t>12,0 Bod</w:t>
      </w:r>
      <w:r>
        <w:rPr>
          <w:spacing w:val="-3"/>
        </w:rPr>
        <w:t xml:space="preserve"> </w:t>
      </w:r>
      <w:r>
        <w:t>vzplanutí/</w:t>
      </w:r>
      <w:r>
        <w:rPr>
          <w:spacing w:val="-2"/>
        </w:rPr>
        <w:t xml:space="preserve"> </w:t>
      </w:r>
      <w:r>
        <w:t>vznícení:</w:t>
      </w:r>
      <w:r>
        <w:tab/>
        <w:t>žádný</w:t>
      </w:r>
    </w:p>
    <w:p w14:paraId="1CD56090" w14:textId="77777777" w:rsidR="005846C6" w:rsidRDefault="005846C6" w:rsidP="00E81558"/>
    <w:p w14:paraId="40E63786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5AECE6E5" w14:textId="77777777" w:rsidR="001467B2" w:rsidRDefault="001467B2" w:rsidP="001467B2">
      <w:pPr>
        <w:pStyle w:val="Zkladntext"/>
        <w:spacing w:before="101" w:line="266" w:lineRule="auto"/>
        <w:ind w:left="1265" w:right="114"/>
        <w:jc w:val="both"/>
      </w:pPr>
      <w:r>
        <w:t xml:space="preserve">Zředěný </w:t>
      </w:r>
      <w:r>
        <w:rPr>
          <w:b/>
        </w:rPr>
        <w:t xml:space="preserve">Hydrex 4501 </w:t>
      </w:r>
      <w:r>
        <w:t>je alkalický a jako takový má korozivní účinky i v koncentrované formě. Dávkovací zařízení by proto mělo být zhotoveno z antikorozních materiálů. Doporučeným materiálem je nerezavějící ocel, PVC a PP-H. Komponenty z mědi by neměly být</w:t>
      </w:r>
      <w:r>
        <w:rPr>
          <w:spacing w:val="-15"/>
        </w:rPr>
        <w:t xml:space="preserve"> </w:t>
      </w:r>
      <w:r>
        <w:t>používány.</w:t>
      </w:r>
    </w:p>
    <w:p w14:paraId="4D62C984" w14:textId="77777777" w:rsidR="00F34BD4" w:rsidRDefault="00F34BD4" w:rsidP="00671B77">
      <w:pPr>
        <w:pStyle w:val="Zkladntext"/>
        <w:ind w:left="567" w:hanging="141"/>
      </w:pPr>
    </w:p>
    <w:p w14:paraId="61D99D20" w14:textId="77777777" w:rsidR="00943710" w:rsidRDefault="00943710" w:rsidP="00F34BD4"/>
    <w:p w14:paraId="746DBC19" w14:textId="77777777" w:rsidR="005846C6" w:rsidRDefault="005846C6" w:rsidP="00E81558">
      <w:pPr>
        <w:rPr>
          <w:color w:val="4F81BD" w:themeColor="accent1"/>
        </w:rPr>
      </w:pPr>
    </w:p>
    <w:p w14:paraId="30D6055E" w14:textId="77777777" w:rsidR="00943710" w:rsidRDefault="00E81558" w:rsidP="00F34BD4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1D98AB69" w14:textId="77777777" w:rsidR="001467B2" w:rsidRDefault="001467B2" w:rsidP="001467B2">
      <w:pPr>
        <w:pStyle w:val="Zkladntext"/>
        <w:spacing w:before="202" w:line="278" w:lineRule="auto"/>
        <w:ind w:left="1265" w:right="708"/>
      </w:pPr>
      <w:r>
        <w:rPr>
          <w:b/>
        </w:rPr>
        <w:t xml:space="preserve">Hydrex 4501 </w:t>
      </w:r>
      <w:r>
        <w:t>je dodáván v kontejneru o objemu 40 kg. Velké a střední kontejnery jsou k dispozici na vyžádání.</w:t>
      </w:r>
    </w:p>
    <w:p w14:paraId="04F4A0D5" w14:textId="77777777" w:rsidR="001467B2" w:rsidRDefault="001467B2" w:rsidP="001467B2">
      <w:pPr>
        <w:pStyle w:val="Zkladntext"/>
        <w:spacing w:line="224" w:lineRule="exact"/>
        <w:ind w:left="1265" w:right="708"/>
      </w:pPr>
      <w:r>
        <w:t xml:space="preserve">Trvanlivost </w:t>
      </w:r>
      <w:r>
        <w:rPr>
          <w:b/>
        </w:rPr>
        <w:t xml:space="preserve">Hydrex 4501 </w:t>
      </w:r>
      <w:r>
        <w:t>je 2 roky při normálním zacházení a skladování</w:t>
      </w:r>
    </w:p>
    <w:p w14:paraId="37CABC02" w14:textId="77777777" w:rsidR="00F34BD4" w:rsidRDefault="00F34BD4" w:rsidP="00F34BD4"/>
    <w:p w14:paraId="779B6E24" w14:textId="77777777" w:rsidR="00943710" w:rsidRPr="001467B2" w:rsidRDefault="00671B77" w:rsidP="00943710">
      <w:pPr>
        <w:rPr>
          <w:color w:val="4F81BD" w:themeColor="accent1"/>
        </w:rPr>
      </w:pPr>
      <w:r w:rsidRPr="001467B2">
        <w:rPr>
          <w:color w:val="4F81BD" w:themeColor="accent1"/>
        </w:rPr>
        <w:t>In</w:t>
      </w:r>
      <w:r w:rsidR="00943710" w:rsidRPr="001467B2">
        <w:rPr>
          <w:color w:val="4F81BD" w:themeColor="accent1"/>
        </w:rPr>
        <w:t>formace o bezpečnosti</w:t>
      </w:r>
    </w:p>
    <w:p w14:paraId="20DD5DFB" w14:textId="77777777" w:rsidR="001467B2" w:rsidRDefault="001467B2" w:rsidP="001467B2">
      <w:pPr>
        <w:pStyle w:val="Zkladntext"/>
        <w:spacing w:before="101" w:line="266" w:lineRule="auto"/>
        <w:ind w:left="1207" w:right="120"/>
        <w:jc w:val="both"/>
      </w:pPr>
      <w:r>
        <w:t>Je nutné opatrné zacházení. Při manipulaci s neředěným přípravkem i jeho roztokem musí být použity osobní ochranné pracovní prostředky (OOPP), tj. ochranné kombinézy, ochranné rukavice spolu s ochrannými</w:t>
      </w:r>
      <w:r>
        <w:rPr>
          <w:spacing w:val="-6"/>
        </w:rPr>
        <w:t xml:space="preserve"> </w:t>
      </w:r>
      <w:r>
        <w:t>brýlemi.</w:t>
      </w:r>
    </w:p>
    <w:p w14:paraId="676B263F" w14:textId="77777777" w:rsidR="001467B2" w:rsidRDefault="001467B2" w:rsidP="001467B2">
      <w:pPr>
        <w:pStyle w:val="Zkladntext"/>
        <w:spacing w:before="98" w:line="367" w:lineRule="auto"/>
        <w:ind w:left="1207" w:right="2196"/>
      </w:pPr>
      <w:r>
        <w:t>Při dávkování přípravku do vody se vyvarujte jeho vdechnutí použitím ochranné masky. Skladujte na dobře větraném místě.</w:t>
      </w:r>
    </w:p>
    <w:p w14:paraId="14A72458" w14:textId="276A11EA" w:rsidR="001467B2" w:rsidRDefault="001467B2" w:rsidP="001467B2">
      <w:pPr>
        <w:pStyle w:val="Zkladntext"/>
        <w:spacing w:before="4"/>
        <w:ind w:left="1207"/>
        <w:jc w:val="both"/>
      </w:pPr>
      <w:r>
        <w:t>Podrobnější informace naleznete v bezpečnostním listu.</w:t>
      </w:r>
    </w:p>
    <w:p w14:paraId="2B3DFFA6" w14:textId="04853B48" w:rsidR="00DC7CF2" w:rsidRDefault="00DC7CF2" w:rsidP="001467B2">
      <w:pPr>
        <w:pStyle w:val="Zkladntext"/>
        <w:spacing w:before="4"/>
        <w:ind w:left="1207"/>
        <w:jc w:val="both"/>
      </w:pPr>
    </w:p>
    <w:p w14:paraId="063FE093" w14:textId="5B970958" w:rsidR="00DC7CF2" w:rsidRDefault="00DC7CF2" w:rsidP="001467B2">
      <w:pPr>
        <w:pStyle w:val="Zkladntext"/>
        <w:spacing w:before="4"/>
        <w:ind w:left="1207"/>
        <w:jc w:val="both"/>
      </w:pPr>
    </w:p>
    <w:p w14:paraId="4C4E59AC" w14:textId="74D2FA1E" w:rsidR="00DC7CF2" w:rsidRDefault="00DC7CF2" w:rsidP="001467B2">
      <w:pPr>
        <w:pStyle w:val="Zkladntext"/>
        <w:spacing w:before="4"/>
        <w:ind w:left="1207"/>
        <w:jc w:val="both"/>
      </w:pPr>
    </w:p>
    <w:p w14:paraId="5CD23A8C" w14:textId="081CEB33" w:rsidR="00DC7CF2" w:rsidRDefault="00DC7CF2" w:rsidP="001467B2">
      <w:pPr>
        <w:pStyle w:val="Zkladntext"/>
        <w:spacing w:before="4"/>
        <w:ind w:left="1207"/>
        <w:jc w:val="both"/>
      </w:pPr>
    </w:p>
    <w:p w14:paraId="522AC21C" w14:textId="4D65814A" w:rsidR="00DC7CF2" w:rsidRDefault="00DC7CF2" w:rsidP="001467B2">
      <w:pPr>
        <w:pStyle w:val="Zkladntext"/>
        <w:spacing w:before="4"/>
        <w:ind w:left="1207"/>
        <w:jc w:val="both"/>
      </w:pPr>
    </w:p>
    <w:p w14:paraId="4A1DDAE9" w14:textId="7663ED1D" w:rsidR="00DC7CF2" w:rsidRDefault="00DC7CF2" w:rsidP="001467B2">
      <w:pPr>
        <w:pStyle w:val="Zkladntext"/>
        <w:spacing w:before="4"/>
        <w:ind w:left="1207"/>
        <w:jc w:val="both"/>
      </w:pPr>
    </w:p>
    <w:p w14:paraId="728C74E2" w14:textId="116CEBFA" w:rsidR="00DC7CF2" w:rsidRDefault="00DC7CF2" w:rsidP="001467B2">
      <w:pPr>
        <w:pStyle w:val="Zkladntext"/>
        <w:spacing w:before="4"/>
        <w:ind w:left="1207"/>
        <w:jc w:val="both"/>
      </w:pPr>
    </w:p>
    <w:p w14:paraId="1AA5A2A0" w14:textId="5F5C8E91" w:rsidR="00DC7CF2" w:rsidRDefault="00DC7CF2" w:rsidP="001467B2">
      <w:pPr>
        <w:pStyle w:val="Zkladntext"/>
        <w:spacing w:before="4"/>
        <w:ind w:left="1207"/>
        <w:jc w:val="both"/>
      </w:pPr>
    </w:p>
    <w:p w14:paraId="7CD64496" w14:textId="43122E9F" w:rsidR="00DC7CF2" w:rsidRDefault="00DC7CF2" w:rsidP="001467B2">
      <w:pPr>
        <w:pStyle w:val="Zkladntext"/>
        <w:spacing w:before="4"/>
        <w:ind w:left="1207"/>
        <w:jc w:val="both"/>
      </w:pPr>
    </w:p>
    <w:p w14:paraId="3B84DD6C" w14:textId="77777777" w:rsidR="00DC7CF2" w:rsidRPr="007D3E46" w:rsidRDefault="00DC7CF2" w:rsidP="00DC7CF2">
      <w:pPr>
        <w:rPr>
          <w:b/>
        </w:rPr>
      </w:pPr>
      <w:r>
        <w:t>Informace není právně závazná.</w:t>
      </w:r>
    </w:p>
    <w:p w14:paraId="7CF0C364" w14:textId="77777777" w:rsidR="00DC7CF2" w:rsidRDefault="00DC7CF2" w:rsidP="001467B2">
      <w:pPr>
        <w:pStyle w:val="Zkladntext"/>
        <w:spacing w:before="4"/>
        <w:ind w:left="1207"/>
        <w:jc w:val="both"/>
      </w:pPr>
    </w:p>
    <w:p w14:paraId="6B29F532" w14:textId="77777777" w:rsidR="00E16999" w:rsidRPr="007D3E46" w:rsidRDefault="00E16999" w:rsidP="001467B2">
      <w:pPr>
        <w:pStyle w:val="Zkladntext"/>
        <w:spacing w:before="3"/>
        <w:ind w:left="993" w:hanging="709"/>
        <w:rPr>
          <w:b/>
        </w:rPr>
      </w:pP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126B6"/>
    <w:multiLevelType w:val="hybridMultilevel"/>
    <w:tmpl w:val="94587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278F2"/>
    <w:multiLevelType w:val="hybridMultilevel"/>
    <w:tmpl w:val="469C1B1E"/>
    <w:lvl w:ilvl="0" w:tplc="A782CCE6">
      <w:numFmt w:val="bullet"/>
      <w:lvlText w:val="•"/>
      <w:lvlJc w:val="left"/>
      <w:pPr>
        <w:ind w:left="1154" w:hanging="161"/>
      </w:pPr>
      <w:rPr>
        <w:rFonts w:ascii="Arial" w:eastAsia="Arial" w:hAnsi="Arial" w:cs="Arial" w:hint="default"/>
        <w:w w:val="142"/>
        <w:sz w:val="22"/>
        <w:szCs w:val="22"/>
        <w:lang w:val="cs-CZ" w:eastAsia="cs-CZ" w:bidi="cs-CZ"/>
      </w:rPr>
    </w:lvl>
    <w:lvl w:ilvl="1" w:tplc="1ABABB44">
      <w:numFmt w:val="bullet"/>
      <w:lvlText w:val="•"/>
      <w:lvlJc w:val="left"/>
      <w:pPr>
        <w:ind w:left="2234" w:hanging="161"/>
      </w:pPr>
      <w:rPr>
        <w:lang w:val="cs-CZ" w:eastAsia="cs-CZ" w:bidi="cs-CZ"/>
      </w:rPr>
    </w:lvl>
    <w:lvl w:ilvl="2" w:tplc="AFD8A368">
      <w:numFmt w:val="bullet"/>
      <w:lvlText w:val="•"/>
      <w:lvlJc w:val="left"/>
      <w:pPr>
        <w:ind w:left="3309" w:hanging="161"/>
      </w:pPr>
      <w:rPr>
        <w:lang w:val="cs-CZ" w:eastAsia="cs-CZ" w:bidi="cs-CZ"/>
      </w:rPr>
    </w:lvl>
    <w:lvl w:ilvl="3" w:tplc="448E624E">
      <w:numFmt w:val="bullet"/>
      <w:lvlText w:val="•"/>
      <w:lvlJc w:val="left"/>
      <w:pPr>
        <w:ind w:left="4383" w:hanging="161"/>
      </w:pPr>
      <w:rPr>
        <w:lang w:val="cs-CZ" w:eastAsia="cs-CZ" w:bidi="cs-CZ"/>
      </w:rPr>
    </w:lvl>
    <w:lvl w:ilvl="4" w:tplc="B468A8B2">
      <w:numFmt w:val="bullet"/>
      <w:lvlText w:val="•"/>
      <w:lvlJc w:val="left"/>
      <w:pPr>
        <w:ind w:left="5458" w:hanging="161"/>
      </w:pPr>
      <w:rPr>
        <w:lang w:val="cs-CZ" w:eastAsia="cs-CZ" w:bidi="cs-CZ"/>
      </w:rPr>
    </w:lvl>
    <w:lvl w:ilvl="5" w:tplc="46C429CA">
      <w:numFmt w:val="bullet"/>
      <w:lvlText w:val="•"/>
      <w:lvlJc w:val="left"/>
      <w:pPr>
        <w:ind w:left="6533" w:hanging="161"/>
      </w:pPr>
      <w:rPr>
        <w:lang w:val="cs-CZ" w:eastAsia="cs-CZ" w:bidi="cs-CZ"/>
      </w:rPr>
    </w:lvl>
    <w:lvl w:ilvl="6" w:tplc="9DF2F456">
      <w:numFmt w:val="bullet"/>
      <w:lvlText w:val="•"/>
      <w:lvlJc w:val="left"/>
      <w:pPr>
        <w:ind w:left="7607" w:hanging="161"/>
      </w:pPr>
      <w:rPr>
        <w:lang w:val="cs-CZ" w:eastAsia="cs-CZ" w:bidi="cs-CZ"/>
      </w:rPr>
    </w:lvl>
    <w:lvl w:ilvl="7" w:tplc="46280076">
      <w:numFmt w:val="bullet"/>
      <w:lvlText w:val="•"/>
      <w:lvlJc w:val="left"/>
      <w:pPr>
        <w:ind w:left="8682" w:hanging="161"/>
      </w:pPr>
      <w:rPr>
        <w:lang w:val="cs-CZ" w:eastAsia="cs-CZ" w:bidi="cs-CZ"/>
      </w:rPr>
    </w:lvl>
    <w:lvl w:ilvl="8" w:tplc="1E4A3C2A">
      <w:numFmt w:val="bullet"/>
      <w:lvlText w:val="•"/>
      <w:lvlJc w:val="left"/>
      <w:pPr>
        <w:ind w:left="9757" w:hanging="161"/>
      </w:pPr>
      <w:rPr>
        <w:lang w:val="cs-CZ" w:eastAsia="cs-CZ" w:bidi="cs-CZ"/>
      </w:rPr>
    </w:lvl>
  </w:abstractNum>
  <w:abstractNum w:abstractNumId="2" w15:restartNumberingAfterBreak="0">
    <w:nsid w:val="49601F19"/>
    <w:multiLevelType w:val="hybridMultilevel"/>
    <w:tmpl w:val="94F04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7BF0"/>
    <w:multiLevelType w:val="hybridMultilevel"/>
    <w:tmpl w:val="F2CA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94DEB"/>
    <w:multiLevelType w:val="hybridMultilevel"/>
    <w:tmpl w:val="02967A16"/>
    <w:lvl w:ilvl="0" w:tplc="2F3806C2">
      <w:numFmt w:val="bullet"/>
      <w:lvlText w:val=""/>
      <w:lvlJc w:val="left"/>
      <w:pPr>
        <w:ind w:left="1378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E0483F8">
      <w:numFmt w:val="bullet"/>
      <w:lvlText w:val="•"/>
      <w:lvlJc w:val="left"/>
      <w:pPr>
        <w:ind w:left="2356" w:hanging="142"/>
      </w:pPr>
      <w:rPr>
        <w:rFonts w:hint="default"/>
      </w:rPr>
    </w:lvl>
    <w:lvl w:ilvl="2" w:tplc="45CABEB6">
      <w:numFmt w:val="bullet"/>
      <w:lvlText w:val="•"/>
      <w:lvlJc w:val="left"/>
      <w:pPr>
        <w:ind w:left="3332" w:hanging="142"/>
      </w:pPr>
      <w:rPr>
        <w:rFonts w:hint="default"/>
      </w:rPr>
    </w:lvl>
    <w:lvl w:ilvl="3" w:tplc="062C29C6">
      <w:numFmt w:val="bullet"/>
      <w:lvlText w:val="•"/>
      <w:lvlJc w:val="left"/>
      <w:pPr>
        <w:ind w:left="4308" w:hanging="142"/>
      </w:pPr>
      <w:rPr>
        <w:rFonts w:hint="default"/>
      </w:rPr>
    </w:lvl>
    <w:lvl w:ilvl="4" w:tplc="159A05E0">
      <w:numFmt w:val="bullet"/>
      <w:lvlText w:val="•"/>
      <w:lvlJc w:val="left"/>
      <w:pPr>
        <w:ind w:left="5284" w:hanging="142"/>
      </w:pPr>
      <w:rPr>
        <w:rFonts w:hint="default"/>
      </w:rPr>
    </w:lvl>
    <w:lvl w:ilvl="5" w:tplc="E648F192">
      <w:numFmt w:val="bullet"/>
      <w:lvlText w:val="•"/>
      <w:lvlJc w:val="left"/>
      <w:pPr>
        <w:ind w:left="6260" w:hanging="142"/>
      </w:pPr>
      <w:rPr>
        <w:rFonts w:hint="default"/>
      </w:rPr>
    </w:lvl>
    <w:lvl w:ilvl="6" w:tplc="09208648">
      <w:numFmt w:val="bullet"/>
      <w:lvlText w:val="•"/>
      <w:lvlJc w:val="left"/>
      <w:pPr>
        <w:ind w:left="7236" w:hanging="142"/>
      </w:pPr>
      <w:rPr>
        <w:rFonts w:hint="default"/>
      </w:rPr>
    </w:lvl>
    <w:lvl w:ilvl="7" w:tplc="1EDEB5BA">
      <w:numFmt w:val="bullet"/>
      <w:lvlText w:val="•"/>
      <w:lvlJc w:val="left"/>
      <w:pPr>
        <w:ind w:left="8212" w:hanging="142"/>
      </w:pPr>
      <w:rPr>
        <w:rFonts w:hint="default"/>
      </w:rPr>
    </w:lvl>
    <w:lvl w:ilvl="8" w:tplc="1654E014">
      <w:numFmt w:val="bullet"/>
      <w:lvlText w:val="•"/>
      <w:lvlJc w:val="left"/>
      <w:pPr>
        <w:ind w:left="9188" w:hanging="142"/>
      </w:pPr>
      <w:rPr>
        <w:rFonts w:hint="default"/>
      </w:rPr>
    </w:lvl>
  </w:abstractNum>
  <w:abstractNum w:abstractNumId="5" w15:restartNumberingAfterBreak="0">
    <w:nsid w:val="5A53752F"/>
    <w:multiLevelType w:val="hybridMultilevel"/>
    <w:tmpl w:val="BD84103A"/>
    <w:lvl w:ilvl="0" w:tplc="F07E92A0">
      <w:numFmt w:val="bullet"/>
      <w:lvlText w:val="-"/>
      <w:lvlJc w:val="left"/>
      <w:pPr>
        <w:ind w:left="1111" w:hanging="118"/>
      </w:pPr>
      <w:rPr>
        <w:rFonts w:ascii="Arial" w:eastAsia="Arial" w:hAnsi="Arial" w:cs="Arial" w:hint="default"/>
        <w:w w:val="92"/>
        <w:sz w:val="22"/>
        <w:szCs w:val="22"/>
        <w:lang w:val="cs-CZ" w:eastAsia="cs-CZ" w:bidi="cs-CZ"/>
      </w:rPr>
    </w:lvl>
    <w:lvl w:ilvl="1" w:tplc="8176303E">
      <w:numFmt w:val="bullet"/>
      <w:lvlText w:val="•"/>
      <w:lvlJc w:val="left"/>
      <w:pPr>
        <w:ind w:left="2198" w:hanging="118"/>
      </w:pPr>
      <w:rPr>
        <w:lang w:val="cs-CZ" w:eastAsia="cs-CZ" w:bidi="cs-CZ"/>
      </w:rPr>
    </w:lvl>
    <w:lvl w:ilvl="2" w:tplc="2AB0122C">
      <w:numFmt w:val="bullet"/>
      <w:lvlText w:val="•"/>
      <w:lvlJc w:val="left"/>
      <w:pPr>
        <w:ind w:left="3277" w:hanging="118"/>
      </w:pPr>
      <w:rPr>
        <w:lang w:val="cs-CZ" w:eastAsia="cs-CZ" w:bidi="cs-CZ"/>
      </w:rPr>
    </w:lvl>
    <w:lvl w:ilvl="3" w:tplc="8E640C54">
      <w:numFmt w:val="bullet"/>
      <w:lvlText w:val="•"/>
      <w:lvlJc w:val="left"/>
      <w:pPr>
        <w:ind w:left="4355" w:hanging="118"/>
      </w:pPr>
      <w:rPr>
        <w:lang w:val="cs-CZ" w:eastAsia="cs-CZ" w:bidi="cs-CZ"/>
      </w:rPr>
    </w:lvl>
    <w:lvl w:ilvl="4" w:tplc="4A865ACA">
      <w:numFmt w:val="bullet"/>
      <w:lvlText w:val="•"/>
      <w:lvlJc w:val="left"/>
      <w:pPr>
        <w:ind w:left="5434" w:hanging="118"/>
      </w:pPr>
      <w:rPr>
        <w:lang w:val="cs-CZ" w:eastAsia="cs-CZ" w:bidi="cs-CZ"/>
      </w:rPr>
    </w:lvl>
    <w:lvl w:ilvl="5" w:tplc="8E0026A4">
      <w:numFmt w:val="bullet"/>
      <w:lvlText w:val="•"/>
      <w:lvlJc w:val="left"/>
      <w:pPr>
        <w:ind w:left="6513" w:hanging="118"/>
      </w:pPr>
      <w:rPr>
        <w:lang w:val="cs-CZ" w:eastAsia="cs-CZ" w:bidi="cs-CZ"/>
      </w:rPr>
    </w:lvl>
    <w:lvl w:ilvl="6" w:tplc="DB2E15F4">
      <w:numFmt w:val="bullet"/>
      <w:lvlText w:val="•"/>
      <w:lvlJc w:val="left"/>
      <w:pPr>
        <w:ind w:left="7591" w:hanging="118"/>
      </w:pPr>
      <w:rPr>
        <w:lang w:val="cs-CZ" w:eastAsia="cs-CZ" w:bidi="cs-CZ"/>
      </w:rPr>
    </w:lvl>
    <w:lvl w:ilvl="7" w:tplc="944811B0">
      <w:numFmt w:val="bullet"/>
      <w:lvlText w:val="•"/>
      <w:lvlJc w:val="left"/>
      <w:pPr>
        <w:ind w:left="8670" w:hanging="118"/>
      </w:pPr>
      <w:rPr>
        <w:lang w:val="cs-CZ" w:eastAsia="cs-CZ" w:bidi="cs-CZ"/>
      </w:rPr>
    </w:lvl>
    <w:lvl w:ilvl="8" w:tplc="E738FEFC">
      <w:numFmt w:val="bullet"/>
      <w:lvlText w:val="•"/>
      <w:lvlJc w:val="left"/>
      <w:pPr>
        <w:ind w:left="9749" w:hanging="118"/>
      </w:pPr>
      <w:rPr>
        <w:lang w:val="cs-CZ" w:eastAsia="cs-CZ" w:bidi="cs-CZ"/>
      </w:rPr>
    </w:lvl>
  </w:abstractNum>
  <w:abstractNum w:abstractNumId="6" w15:restartNumberingAfterBreak="0">
    <w:nsid w:val="69053C04"/>
    <w:multiLevelType w:val="hybridMultilevel"/>
    <w:tmpl w:val="3E9C7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53E70"/>
    <w:multiLevelType w:val="hybridMultilevel"/>
    <w:tmpl w:val="8480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485">
    <w:abstractNumId w:val="7"/>
  </w:num>
  <w:num w:numId="2" w16cid:durableId="1374423310">
    <w:abstractNumId w:val="3"/>
  </w:num>
  <w:num w:numId="3" w16cid:durableId="618604275">
    <w:abstractNumId w:val="2"/>
  </w:num>
  <w:num w:numId="4" w16cid:durableId="307437390">
    <w:abstractNumId w:val="6"/>
  </w:num>
  <w:num w:numId="5" w16cid:durableId="930746883">
    <w:abstractNumId w:val="0"/>
  </w:num>
  <w:num w:numId="6" w16cid:durableId="1161509288">
    <w:abstractNumId w:val="1"/>
  </w:num>
  <w:num w:numId="7" w16cid:durableId="1592616504">
    <w:abstractNumId w:val="5"/>
  </w:num>
  <w:num w:numId="8" w16cid:durableId="1416513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128E9"/>
    <w:rsid w:val="00124A54"/>
    <w:rsid w:val="001467B2"/>
    <w:rsid w:val="00165B6A"/>
    <w:rsid w:val="002C6A9F"/>
    <w:rsid w:val="003D540D"/>
    <w:rsid w:val="005846C6"/>
    <w:rsid w:val="00671B77"/>
    <w:rsid w:val="007D3E46"/>
    <w:rsid w:val="00943710"/>
    <w:rsid w:val="00A07E02"/>
    <w:rsid w:val="00C50EC9"/>
    <w:rsid w:val="00DC7CF2"/>
    <w:rsid w:val="00E16999"/>
    <w:rsid w:val="00E81558"/>
    <w:rsid w:val="00F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F3B4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94371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F3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4BD4"/>
    <w:rPr>
      <w:rFonts w:ascii="Arial" w:eastAsia="Arial" w:hAnsi="Arial" w:cs="Arial"/>
      <w:lang w:eastAsia="cs-CZ" w:bidi="cs-CZ"/>
    </w:rPr>
  </w:style>
  <w:style w:type="character" w:styleId="Siln">
    <w:name w:val="Strong"/>
    <w:basedOn w:val="Standardnpsmoodstavce"/>
    <w:uiPriority w:val="22"/>
    <w:qFormat/>
    <w:rsid w:val="00DC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2023-01-19T10:50:00Z</dcterms:created>
  <dcterms:modified xsi:type="dcterms:W3CDTF">2023-01-19T10:50:00Z</dcterms:modified>
</cp:coreProperties>
</file>